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8E0461" w:rsidRPr="008E0461" w:rsidRDefault="00DC57A1" w:rsidP="00407DF6">
      <w:pPr>
        <w:pStyle w:val="Nadpistabulky"/>
        <w:ind w:left="0"/>
        <w:rPr>
          <w:rStyle w:val="FontStyle37"/>
          <w:rFonts w:asciiTheme="minorHAnsi" w:hAnsiTheme="minorHAnsi"/>
          <w:b/>
        </w:rPr>
      </w:pPr>
      <w:r w:rsidRPr="008E0461">
        <w:rPr>
          <w:rStyle w:val="FontStyle37"/>
          <w:rFonts w:asciiTheme="minorHAnsi" w:hAnsiTheme="minorHAnsi"/>
          <w:b/>
        </w:rPr>
        <w:t xml:space="preserve">Příloha </w:t>
      </w:r>
      <w:r w:rsidR="008E0461" w:rsidRPr="008E0461">
        <w:rPr>
          <w:rStyle w:val="FontStyle37"/>
          <w:rFonts w:asciiTheme="minorHAnsi" w:hAnsiTheme="minorHAnsi"/>
          <w:b/>
        </w:rPr>
        <w:t>2 Rámcové dohody</w:t>
      </w:r>
    </w:p>
    <w:p w:rsidR="00452C9B" w:rsidRPr="008E0461" w:rsidRDefault="00CD177E" w:rsidP="00407DF6">
      <w:pPr>
        <w:pStyle w:val="Nadpistabulky"/>
        <w:ind w:left="0"/>
        <w:rPr>
          <w:rStyle w:val="FontStyle37"/>
          <w:rFonts w:asciiTheme="minorHAnsi" w:hAnsiTheme="minorHAnsi"/>
          <w:b/>
        </w:rPr>
      </w:pPr>
      <w:r w:rsidRPr="008E0461">
        <w:rPr>
          <w:rStyle w:val="FontStyle37"/>
          <w:rFonts w:asciiTheme="minorHAnsi" w:hAnsiTheme="minorHAnsi"/>
          <w:b/>
        </w:rPr>
        <w:t>Vymezení předmětu dílčích zakázek</w:t>
      </w:r>
    </w:p>
    <w:p w:rsidR="007356D6" w:rsidRPr="00AF0966" w:rsidRDefault="00467AF4" w:rsidP="00AF0966">
      <w:pPr>
        <w:spacing w:before="240"/>
        <w:rPr>
          <w:rFonts w:eastAsiaTheme="minorEastAsia" w:cs="Times New Roman"/>
          <w:b/>
          <w:bCs/>
          <w:color w:val="000000"/>
          <w:sz w:val="20"/>
          <w:szCs w:val="20"/>
          <w:highlight w:val="yellow"/>
        </w:rPr>
      </w:pPr>
      <w:r w:rsidRPr="00467AF4">
        <w:rPr>
          <w:rFonts w:ascii="Verdana" w:hAnsi="Verdana"/>
          <w:b/>
          <w:sz w:val="20"/>
          <w:szCs w:val="20"/>
        </w:rPr>
        <w:t xml:space="preserve">„Údržba, opravy a odstraňování závad u ST OŘ PHA 2024 - 2026 - ST </w:t>
      </w:r>
      <w:proofErr w:type="spellStart"/>
      <w:r w:rsidRPr="00467AF4">
        <w:rPr>
          <w:rFonts w:ascii="Verdana" w:hAnsi="Verdana"/>
          <w:b/>
          <w:sz w:val="20"/>
          <w:szCs w:val="20"/>
        </w:rPr>
        <w:t>Pv</w:t>
      </w:r>
      <w:proofErr w:type="spellEnd"/>
      <w:r w:rsidRPr="00467AF4">
        <w:rPr>
          <w:rFonts w:ascii="Verdana" w:hAnsi="Verdana"/>
          <w:b/>
          <w:sz w:val="20"/>
          <w:szCs w:val="20"/>
        </w:rPr>
        <w:t>“</w:t>
      </w:r>
    </w:p>
    <w:p w:rsidR="00AF0966" w:rsidRDefault="00AF0966" w:rsidP="00AF0966">
      <w:pPr>
        <w:spacing w:before="120" w:after="180"/>
        <w:rPr>
          <w:rStyle w:val="Siln"/>
        </w:rPr>
      </w:pPr>
      <w:r>
        <w:rPr>
          <w:rStyle w:val="Siln"/>
        </w:rPr>
        <w:t>Předmět dílčích smluv</w:t>
      </w:r>
    </w:p>
    <w:p w:rsidR="00AF0966" w:rsidRDefault="00AF0966" w:rsidP="00AF0966">
      <w:pPr>
        <w:ind w:right="55"/>
        <w:jc w:val="both"/>
        <w:rPr>
          <w:rFonts w:cs="Arial"/>
          <w:noProof/>
        </w:rPr>
      </w:pPr>
      <w:r>
        <w:rPr>
          <w:rFonts w:cs="Arial"/>
          <w:noProof/>
        </w:rPr>
        <w:t>Provedení údržbových prací na železničním svršku, spodku a stavbách železničního spodku k udržení kvalitativních parametrů, k</w:t>
      </w:r>
      <w:r>
        <w:rPr>
          <w:rFonts w:cs="Arial"/>
          <w:noProof/>
        </w:rPr>
        <w:t>e</w:t>
      </w:r>
      <w:r>
        <w:rPr>
          <w:rFonts w:cs="Arial"/>
          <w:noProof/>
        </w:rPr>
        <w:t xml:space="preserve"> zpomalování fyzického opotřebení, </w:t>
      </w:r>
      <w:bookmarkStart w:id="0" w:name="_GoBack"/>
      <w:bookmarkEnd w:id="0"/>
      <w:r>
        <w:rPr>
          <w:rFonts w:cs="Arial"/>
          <w:noProof/>
        </w:rPr>
        <w:t>k odstranění jednotlivých závad a k provedení údržbových prací za účelem zajištění plynulosti a bezpečnosti železniční dopravy a zvýšení kvality stavu dopravní infrastruktury.</w:t>
      </w:r>
    </w:p>
    <w:p w:rsidR="00AF0966" w:rsidRDefault="00AF0966" w:rsidP="00AF0966">
      <w:pPr>
        <w:ind w:right="55"/>
        <w:jc w:val="both"/>
        <w:rPr>
          <w:rFonts w:cs="Arial"/>
          <w:noProof/>
        </w:rPr>
      </w:pPr>
      <w:r>
        <w:rPr>
          <w:rFonts w:cs="Arial"/>
        </w:rPr>
        <w:t xml:space="preserve">Opravné </w:t>
      </w:r>
      <w:r>
        <w:rPr>
          <w:rFonts w:cs="Arial"/>
          <w:szCs w:val="22"/>
        </w:rPr>
        <w:t xml:space="preserve">práce této zakázky budou prováděny zejména za provozu (bez výluk, ve vlakových pauzách). Údržbové práce, které vyžadují nepřetržité vyloučení provozu, budou provedeny ve výluce. V případě nutnosti zajistí výluky Správa tratí Praha </w:t>
      </w:r>
      <w:r>
        <w:rPr>
          <w:rFonts w:cs="Arial"/>
          <w:szCs w:val="22"/>
        </w:rPr>
        <w:t>východ</w:t>
      </w:r>
      <w:r>
        <w:rPr>
          <w:rFonts w:cs="Arial"/>
          <w:szCs w:val="22"/>
        </w:rPr>
        <w:t xml:space="preserve"> (ST </w:t>
      </w:r>
      <w:proofErr w:type="spellStart"/>
      <w:r>
        <w:rPr>
          <w:rFonts w:cs="Arial"/>
          <w:szCs w:val="22"/>
        </w:rPr>
        <w:t>P</w:t>
      </w:r>
      <w:r>
        <w:rPr>
          <w:rFonts w:cs="Arial"/>
          <w:szCs w:val="22"/>
        </w:rPr>
        <w:t>v</w:t>
      </w:r>
      <w:proofErr w:type="spellEnd"/>
      <w:r>
        <w:rPr>
          <w:rFonts w:cs="Arial"/>
          <w:szCs w:val="22"/>
        </w:rPr>
        <w:t>).</w:t>
      </w:r>
    </w:p>
    <w:p w:rsidR="00AF0966" w:rsidRDefault="00AF0966" w:rsidP="00AF0966">
      <w:pPr>
        <w:ind w:right="55"/>
        <w:jc w:val="both"/>
        <w:rPr>
          <w:rFonts w:cs="Arial"/>
          <w:noProof/>
        </w:rPr>
      </w:pPr>
      <w:r>
        <w:rPr>
          <w:rFonts w:cs="Arial"/>
          <w:noProof/>
        </w:rPr>
        <w:t>Předmětem plnění jsou údržbové práce na základě průběžných objednávek (výzev objednatele), které jsou součástí Rámcové dohody. Nabídkový koeficient ceny uzavřený v Rámcové dohodě k cenové databázi ÚOŽI a cenové soustavě ÚRS s opakujícím se plněním je po celou dobu platnosti dohody neměnný a vždy vztažený k aktuálnímu platnému sborníku.</w:t>
      </w:r>
    </w:p>
    <w:p w:rsidR="00AF0966" w:rsidRDefault="00AF0966" w:rsidP="00AF0966">
      <w:pPr>
        <w:tabs>
          <w:tab w:val="num" w:pos="737"/>
        </w:tabs>
        <w:spacing w:after="120"/>
        <w:ind w:right="765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Čerpání vedlejších rozpočtových nákladů:</w:t>
      </w:r>
    </w:p>
    <w:p w:rsidR="00AF0966" w:rsidRDefault="00AF0966" w:rsidP="00AF0966">
      <w:pPr>
        <w:ind w:right="55"/>
        <w:jc w:val="both"/>
        <w:rPr>
          <w:rFonts w:cs="Arial"/>
        </w:rPr>
      </w:pPr>
      <w:r>
        <w:rPr>
          <w:rFonts w:cs="Arial"/>
        </w:rPr>
        <w:t>Položky VRN1, VRN2, VRN3, VRN4, VRN5 uvedené v Příloze č. 3b této Rámcové dohody - Limitní výše VRN, budou čerpány vždy dle výše dílčího čerpání rámcové dohody skutečně provedených prací a dodávek.</w:t>
      </w:r>
    </w:p>
    <w:p w:rsidR="00AF0966" w:rsidRDefault="00AF0966" w:rsidP="00AF0966">
      <w:pPr>
        <w:ind w:right="55"/>
        <w:jc w:val="both"/>
        <w:rPr>
          <w:rFonts w:cs="Arial"/>
        </w:rPr>
      </w:pPr>
      <w:r>
        <w:rPr>
          <w:rFonts w:cs="Arial"/>
        </w:rPr>
        <w:t>Položky VRN6, VRN7, VRN8, VRN9 uvedené v Příloze č. 3b této Rámcové dohody - Limitní výše VRN, budou čerpány dle potřeby v souladu s jejich popisem.</w:t>
      </w:r>
    </w:p>
    <w:p w:rsidR="00AF0966" w:rsidRDefault="00AF0966" w:rsidP="00AF0966">
      <w:pPr>
        <w:ind w:right="55"/>
        <w:jc w:val="both"/>
        <w:rPr>
          <w:rFonts w:cs="Arial"/>
        </w:rPr>
      </w:pPr>
      <w:r>
        <w:rPr>
          <w:rFonts w:cs="Arial"/>
        </w:rPr>
        <w:t>Ostatní vedlejší rozpočtové náklady uvedené v cenové databázi ÚOŽI a cenové soustavě ÚRS není povoleno čerpat.</w:t>
      </w:r>
    </w:p>
    <w:p w:rsidR="00AF0966" w:rsidRDefault="00AF0966" w:rsidP="00AF0966">
      <w:pPr>
        <w:spacing w:after="120"/>
        <w:ind w:right="765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Shodný výskyt prací a materiálů:</w:t>
      </w:r>
    </w:p>
    <w:p w:rsidR="00AF0966" w:rsidRDefault="00AF0966" w:rsidP="00AF0966">
      <w:pPr>
        <w:ind w:right="197"/>
        <w:jc w:val="both"/>
        <w:rPr>
          <w:rFonts w:cs="Arial"/>
        </w:rPr>
      </w:pPr>
      <w:r>
        <w:rPr>
          <w:rFonts w:cs="Arial"/>
        </w:rPr>
        <w:t>V případě výskytu shodných položek uvedených v cenové databázi ÚOŽI a cenové soustavě ÚRS</w:t>
      </w:r>
      <w:r>
        <w:rPr>
          <w:rFonts w:cs="Arial"/>
        </w:rPr>
        <w:t>,</w:t>
      </w:r>
      <w:r>
        <w:rPr>
          <w:rFonts w:cs="Arial"/>
        </w:rPr>
        <w:t xml:space="preserve"> budou použity vždy položky z cenové databáze ÚOŽI.</w:t>
      </w:r>
    </w:p>
    <w:p w:rsidR="00AF0966" w:rsidRDefault="00AF0966" w:rsidP="00AF0966">
      <w:pPr>
        <w:spacing w:after="120"/>
        <w:ind w:right="765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Zakázané položky:</w:t>
      </w:r>
    </w:p>
    <w:p w:rsidR="00AF0966" w:rsidRDefault="00AF0966" w:rsidP="00AF0966">
      <w:pPr>
        <w:ind w:right="55"/>
        <w:jc w:val="both"/>
        <w:rPr>
          <w:rFonts w:cs="Arial"/>
        </w:rPr>
      </w:pPr>
      <w:r>
        <w:rPr>
          <w:rFonts w:cs="Arial"/>
        </w:rPr>
        <w:t>Vybrané položky (soubory položek) uvedené v Příloze č. 3c této Rámcové dohody – Zakázané položky, jsou zakázány a není možno je čerpat v rámci rámcové dohody (využívat).</w:t>
      </w:r>
    </w:p>
    <w:p w:rsidR="00467AF4" w:rsidRPr="00467AF4" w:rsidRDefault="00467AF4" w:rsidP="00467AF4">
      <w:pPr>
        <w:pStyle w:val="Odstavecseseznamem"/>
        <w:spacing w:before="120"/>
        <w:ind w:left="426" w:right="765"/>
        <w:rPr>
          <w:rFonts w:cs="Arial"/>
        </w:rPr>
      </w:pPr>
    </w:p>
    <w:sectPr w:rsidR="00467AF4" w:rsidRPr="00467AF4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D3" w:rsidRDefault="006D0BD3" w:rsidP="00962258">
      <w:pPr>
        <w:spacing w:after="0" w:line="240" w:lineRule="auto"/>
      </w:pPr>
      <w:r>
        <w:separator/>
      </w:r>
    </w:p>
  </w:endnote>
  <w:endnote w:type="continuationSeparator" w:id="0">
    <w:p w:rsidR="006D0BD3" w:rsidRDefault="006D0B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AF0966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AF0966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FD15D2D" wp14:editId="2DF058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8232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8716FC1" wp14:editId="32D93E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9238D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09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09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460660">
          <w:pPr>
            <w:pStyle w:val="Zpat"/>
          </w:pPr>
          <w:r w:rsidRPr="00B74F04">
            <w:t>Správa železnic</w:t>
          </w:r>
          <w:r w:rsidR="002304A9">
            <w:t>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B74F04" w:rsidP="00460660">
          <w:pPr>
            <w:pStyle w:val="Zpat"/>
          </w:pPr>
          <w:r w:rsidRPr="00B74F04">
            <w:t>www.spravazeleznic.cz</w:t>
          </w:r>
        </w:p>
      </w:tc>
      <w:tc>
        <w:tcPr>
          <w:tcW w:w="2921" w:type="dxa"/>
        </w:tcPr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Oblastní ředitelství Praha</w:t>
          </w:r>
        </w:p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Partyzánská 24</w:t>
          </w:r>
        </w:p>
        <w:p w:rsidR="002304A9" w:rsidRDefault="00B74F04" w:rsidP="00B74F04">
          <w:pPr>
            <w:pStyle w:val="Zpat"/>
          </w:pPr>
          <w:r w:rsidRPr="00B74F04">
            <w:rPr>
              <w:b/>
            </w:rPr>
            <w:t>170 00 Praha 7 - Holešovice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5B68F4B" wp14:editId="07A406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CB4A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940622" wp14:editId="5BBC07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6C9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D3" w:rsidRDefault="006D0BD3" w:rsidP="00962258">
      <w:pPr>
        <w:spacing w:after="0" w:line="240" w:lineRule="auto"/>
      </w:pPr>
      <w:r>
        <w:separator/>
      </w:r>
    </w:p>
  </w:footnote>
  <w:footnote w:type="continuationSeparator" w:id="0">
    <w:p w:rsidR="006D0BD3" w:rsidRDefault="006D0B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1DA713A9" wp14:editId="2DAA0613">
                <wp:simplePos x="0" y="0"/>
                <wp:positionH relativeFrom="page">
                  <wp:posOffset>-969010</wp:posOffset>
                </wp:positionH>
                <wp:positionV relativeFrom="page">
                  <wp:posOffset>-52705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28704CB"/>
    <w:multiLevelType w:val="hybridMultilevel"/>
    <w:tmpl w:val="D5EC6C56"/>
    <w:lvl w:ilvl="0" w:tplc="138AEA1C">
      <w:start w:val="19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BF76403"/>
    <w:multiLevelType w:val="multilevel"/>
    <w:tmpl w:val="0D34D660"/>
    <w:numStyleLink w:val="ListBulletmultilevel"/>
  </w:abstractNum>
  <w:abstractNum w:abstractNumId="19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6550154"/>
    <w:multiLevelType w:val="hybridMultilevel"/>
    <w:tmpl w:val="4F967F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55075"/>
    <w:multiLevelType w:val="hybridMultilevel"/>
    <w:tmpl w:val="982AF6D6"/>
    <w:lvl w:ilvl="0" w:tplc="31CEFD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4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8"/>
  </w:num>
  <w:num w:numId="4">
    <w:abstractNumId w:val="37"/>
  </w:num>
  <w:num w:numId="5">
    <w:abstractNumId w:val="22"/>
  </w:num>
  <w:num w:numId="6">
    <w:abstractNumId w:val="29"/>
  </w:num>
  <w:num w:numId="7">
    <w:abstractNumId w:val="27"/>
  </w:num>
  <w:num w:numId="8">
    <w:abstractNumId w:val="35"/>
  </w:num>
  <w:num w:numId="9">
    <w:abstractNumId w:val="17"/>
  </w:num>
  <w:num w:numId="10">
    <w:abstractNumId w:val="17"/>
    <w:lvlOverride w:ilvl="0">
      <w:startOverride w:val="1"/>
    </w:lvlOverride>
  </w:num>
  <w:num w:numId="11">
    <w:abstractNumId w:val="33"/>
  </w:num>
  <w:num w:numId="12">
    <w:abstractNumId w:val="1"/>
  </w:num>
  <w:num w:numId="13">
    <w:abstractNumId w:val="23"/>
  </w:num>
  <w:num w:numId="14">
    <w:abstractNumId w:val="23"/>
    <w:lvlOverride w:ilvl="0">
      <w:startOverride w:val="1"/>
    </w:lvlOverride>
  </w:num>
  <w:num w:numId="15">
    <w:abstractNumId w:val="15"/>
  </w:num>
  <w:num w:numId="16">
    <w:abstractNumId w:val="7"/>
  </w:num>
  <w:num w:numId="17">
    <w:abstractNumId w:val="28"/>
  </w:num>
  <w:num w:numId="18">
    <w:abstractNumId w:val="10"/>
  </w:num>
  <w:num w:numId="19">
    <w:abstractNumId w:val="5"/>
  </w:num>
  <w:num w:numId="20">
    <w:abstractNumId w:val="20"/>
  </w:num>
  <w:num w:numId="21">
    <w:abstractNumId w:val="36"/>
  </w:num>
  <w:num w:numId="22">
    <w:abstractNumId w:val="13"/>
  </w:num>
  <w:num w:numId="23">
    <w:abstractNumId w:val="34"/>
  </w:num>
  <w:num w:numId="24">
    <w:abstractNumId w:val="16"/>
  </w:num>
  <w:num w:numId="25">
    <w:abstractNumId w:val="3"/>
  </w:num>
  <w:num w:numId="26">
    <w:abstractNumId w:val="11"/>
  </w:num>
  <w:num w:numId="27">
    <w:abstractNumId w:val="4"/>
  </w:num>
  <w:num w:numId="28">
    <w:abstractNumId w:val="17"/>
    <w:lvlOverride w:ilvl="0">
      <w:startOverride w:val="1"/>
    </w:lvlOverride>
  </w:num>
  <w:num w:numId="29">
    <w:abstractNumId w:val="17"/>
    <w:lvlOverride w:ilvl="0">
      <w:startOverride w:val="1"/>
    </w:lvlOverride>
  </w:num>
  <w:num w:numId="30">
    <w:abstractNumId w:val="31"/>
  </w:num>
  <w:num w:numId="31">
    <w:abstractNumId w:val="32"/>
  </w:num>
  <w:num w:numId="32">
    <w:abstractNumId w:val="8"/>
  </w:num>
  <w:num w:numId="33">
    <w:abstractNumId w:val="2"/>
  </w:num>
  <w:num w:numId="34">
    <w:abstractNumId w:val="30"/>
  </w:num>
  <w:num w:numId="35">
    <w:abstractNumId w:val="22"/>
  </w:num>
  <w:num w:numId="36">
    <w:abstractNumId w:val="22"/>
  </w:num>
  <w:num w:numId="37">
    <w:abstractNumId w:val="22"/>
  </w:num>
  <w:num w:numId="38">
    <w:abstractNumId w:val="14"/>
  </w:num>
  <w:num w:numId="39">
    <w:abstractNumId w:val="6"/>
  </w:num>
  <w:num w:numId="40">
    <w:abstractNumId w:val="26"/>
  </w:num>
  <w:num w:numId="41">
    <w:abstractNumId w:val="39"/>
  </w:num>
  <w:num w:numId="42">
    <w:abstractNumId w:val="19"/>
  </w:num>
  <w:num w:numId="43">
    <w:abstractNumId w:val="21"/>
  </w:num>
  <w:num w:numId="44">
    <w:abstractNumId w:val="38"/>
  </w:num>
  <w:num w:numId="45">
    <w:abstractNumId w:val="25"/>
  </w:num>
  <w:num w:numId="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70D3"/>
    <w:rsid w:val="00027341"/>
    <w:rsid w:val="00031950"/>
    <w:rsid w:val="00033432"/>
    <w:rsid w:val="0003702A"/>
    <w:rsid w:val="000508C8"/>
    <w:rsid w:val="00056C37"/>
    <w:rsid w:val="00060B6D"/>
    <w:rsid w:val="00072C1E"/>
    <w:rsid w:val="00083180"/>
    <w:rsid w:val="000932E3"/>
    <w:rsid w:val="00095955"/>
    <w:rsid w:val="000A79A9"/>
    <w:rsid w:val="000B7907"/>
    <w:rsid w:val="000C3CEC"/>
    <w:rsid w:val="000D22BB"/>
    <w:rsid w:val="000E3C12"/>
    <w:rsid w:val="000F0154"/>
    <w:rsid w:val="000F2897"/>
    <w:rsid w:val="000F33DD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41BA9"/>
    <w:rsid w:val="00151C70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1632"/>
    <w:rsid w:val="00216198"/>
    <w:rsid w:val="002247D3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1382"/>
    <w:rsid w:val="002A5F4A"/>
    <w:rsid w:val="002A6652"/>
    <w:rsid w:val="002A6FE2"/>
    <w:rsid w:val="002B2EDF"/>
    <w:rsid w:val="002B42A9"/>
    <w:rsid w:val="002B4B73"/>
    <w:rsid w:val="002C31BF"/>
    <w:rsid w:val="002D08AB"/>
    <w:rsid w:val="002E0CD7"/>
    <w:rsid w:val="002E5A8D"/>
    <w:rsid w:val="00302FF2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4F06"/>
    <w:rsid w:val="0035743E"/>
    <w:rsid w:val="00357BC6"/>
    <w:rsid w:val="00360404"/>
    <w:rsid w:val="003617B4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3F4B37"/>
    <w:rsid w:val="00403FCD"/>
    <w:rsid w:val="00407DF6"/>
    <w:rsid w:val="004122B9"/>
    <w:rsid w:val="00415995"/>
    <w:rsid w:val="00436C59"/>
    <w:rsid w:val="0044446B"/>
    <w:rsid w:val="0044738D"/>
    <w:rsid w:val="00450F07"/>
    <w:rsid w:val="00452C9B"/>
    <w:rsid w:val="00453CD3"/>
    <w:rsid w:val="004553E1"/>
    <w:rsid w:val="00455BC7"/>
    <w:rsid w:val="0045633C"/>
    <w:rsid w:val="00460660"/>
    <w:rsid w:val="00460CCB"/>
    <w:rsid w:val="00462EA2"/>
    <w:rsid w:val="00463CF2"/>
    <w:rsid w:val="00467AF4"/>
    <w:rsid w:val="004772E7"/>
    <w:rsid w:val="00477370"/>
    <w:rsid w:val="00486107"/>
    <w:rsid w:val="00491827"/>
    <w:rsid w:val="004B09BA"/>
    <w:rsid w:val="004B2A17"/>
    <w:rsid w:val="004C4399"/>
    <w:rsid w:val="004C492D"/>
    <w:rsid w:val="004C69ED"/>
    <w:rsid w:val="004C787C"/>
    <w:rsid w:val="004C78C9"/>
    <w:rsid w:val="004E5890"/>
    <w:rsid w:val="004E77D0"/>
    <w:rsid w:val="004F4B9B"/>
    <w:rsid w:val="004F6077"/>
    <w:rsid w:val="0050237B"/>
    <w:rsid w:val="00511AB9"/>
    <w:rsid w:val="00515F84"/>
    <w:rsid w:val="00520F08"/>
    <w:rsid w:val="00523EA7"/>
    <w:rsid w:val="00550FE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1068E"/>
    <w:rsid w:val="0061538A"/>
    <w:rsid w:val="0062369C"/>
    <w:rsid w:val="006318AE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D0BD3"/>
    <w:rsid w:val="006E0578"/>
    <w:rsid w:val="006E314D"/>
    <w:rsid w:val="006E7AA2"/>
    <w:rsid w:val="006F38FD"/>
    <w:rsid w:val="00710723"/>
    <w:rsid w:val="0071577A"/>
    <w:rsid w:val="00723ED1"/>
    <w:rsid w:val="00733238"/>
    <w:rsid w:val="007356D6"/>
    <w:rsid w:val="00736A90"/>
    <w:rsid w:val="0074290E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A3DF1"/>
    <w:rsid w:val="007B13B2"/>
    <w:rsid w:val="007B1AC3"/>
    <w:rsid w:val="007B570C"/>
    <w:rsid w:val="007D7518"/>
    <w:rsid w:val="007E1B12"/>
    <w:rsid w:val="007E4A6E"/>
    <w:rsid w:val="007E61C2"/>
    <w:rsid w:val="007F25A8"/>
    <w:rsid w:val="007F56A7"/>
    <w:rsid w:val="007F5FE2"/>
    <w:rsid w:val="007F7550"/>
    <w:rsid w:val="00800706"/>
    <w:rsid w:val="00807DD0"/>
    <w:rsid w:val="00812143"/>
    <w:rsid w:val="00813F11"/>
    <w:rsid w:val="008315AD"/>
    <w:rsid w:val="00860357"/>
    <w:rsid w:val="0086362E"/>
    <w:rsid w:val="00873BAA"/>
    <w:rsid w:val="00885DD1"/>
    <w:rsid w:val="00897294"/>
    <w:rsid w:val="008A08D3"/>
    <w:rsid w:val="008A3568"/>
    <w:rsid w:val="008A416F"/>
    <w:rsid w:val="008B1904"/>
    <w:rsid w:val="008B58E4"/>
    <w:rsid w:val="008C00F8"/>
    <w:rsid w:val="008C1553"/>
    <w:rsid w:val="008D03B9"/>
    <w:rsid w:val="008D1E1E"/>
    <w:rsid w:val="008D3690"/>
    <w:rsid w:val="008D5B06"/>
    <w:rsid w:val="008E0461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83224"/>
    <w:rsid w:val="00992D9C"/>
    <w:rsid w:val="009932D2"/>
    <w:rsid w:val="00996CB8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2F30"/>
    <w:rsid w:val="00A44328"/>
    <w:rsid w:val="00A456C7"/>
    <w:rsid w:val="00A51C93"/>
    <w:rsid w:val="00A6177B"/>
    <w:rsid w:val="00A66136"/>
    <w:rsid w:val="00A935A1"/>
    <w:rsid w:val="00AA4CBB"/>
    <w:rsid w:val="00AA65FA"/>
    <w:rsid w:val="00AA7351"/>
    <w:rsid w:val="00AB2A85"/>
    <w:rsid w:val="00AD056F"/>
    <w:rsid w:val="00AD325B"/>
    <w:rsid w:val="00AD3774"/>
    <w:rsid w:val="00AD6731"/>
    <w:rsid w:val="00AE6F64"/>
    <w:rsid w:val="00AF0966"/>
    <w:rsid w:val="00AF0D29"/>
    <w:rsid w:val="00B01CAD"/>
    <w:rsid w:val="00B03487"/>
    <w:rsid w:val="00B10120"/>
    <w:rsid w:val="00B15D0D"/>
    <w:rsid w:val="00B343D4"/>
    <w:rsid w:val="00B42268"/>
    <w:rsid w:val="00B459D1"/>
    <w:rsid w:val="00B45E9E"/>
    <w:rsid w:val="00B50D6D"/>
    <w:rsid w:val="00B66D2F"/>
    <w:rsid w:val="00B74F04"/>
    <w:rsid w:val="00B75EE1"/>
    <w:rsid w:val="00B77481"/>
    <w:rsid w:val="00B8518B"/>
    <w:rsid w:val="00B878DA"/>
    <w:rsid w:val="00B96C2B"/>
    <w:rsid w:val="00BA098D"/>
    <w:rsid w:val="00BA2AE3"/>
    <w:rsid w:val="00BB3740"/>
    <w:rsid w:val="00BB4BBA"/>
    <w:rsid w:val="00BC0BB3"/>
    <w:rsid w:val="00BC6413"/>
    <w:rsid w:val="00BD3766"/>
    <w:rsid w:val="00BD7E91"/>
    <w:rsid w:val="00BF374D"/>
    <w:rsid w:val="00BF5F5B"/>
    <w:rsid w:val="00C02D0A"/>
    <w:rsid w:val="00C03A6E"/>
    <w:rsid w:val="00C13FB6"/>
    <w:rsid w:val="00C14464"/>
    <w:rsid w:val="00C20968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D1587"/>
    <w:rsid w:val="00CD177E"/>
    <w:rsid w:val="00CD1FC4"/>
    <w:rsid w:val="00CE371D"/>
    <w:rsid w:val="00CE657C"/>
    <w:rsid w:val="00CF341A"/>
    <w:rsid w:val="00CF7480"/>
    <w:rsid w:val="00D061C9"/>
    <w:rsid w:val="00D068B6"/>
    <w:rsid w:val="00D15D55"/>
    <w:rsid w:val="00D2050E"/>
    <w:rsid w:val="00D21061"/>
    <w:rsid w:val="00D316A7"/>
    <w:rsid w:val="00D4108E"/>
    <w:rsid w:val="00D46C85"/>
    <w:rsid w:val="00D52628"/>
    <w:rsid w:val="00D5605D"/>
    <w:rsid w:val="00D6163D"/>
    <w:rsid w:val="00D77055"/>
    <w:rsid w:val="00D80CFE"/>
    <w:rsid w:val="00D82460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C57A1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91F47"/>
    <w:rsid w:val="00EB104F"/>
    <w:rsid w:val="00EC0257"/>
    <w:rsid w:val="00EC2355"/>
    <w:rsid w:val="00ED14BD"/>
    <w:rsid w:val="00ED70A5"/>
    <w:rsid w:val="00EE4DDB"/>
    <w:rsid w:val="00EF3554"/>
    <w:rsid w:val="00F0152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882FF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  <w:style w:type="paragraph" w:customStyle="1" w:styleId="Zkladntext21">
    <w:name w:val="Základní text 21"/>
    <w:basedOn w:val="Normln"/>
    <w:rsid w:val="00467AF4"/>
    <w:pPr>
      <w:autoSpaceDE w:val="0"/>
      <w:autoSpaceDN w:val="0"/>
      <w:spacing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A96B3AD-19E6-4ED3-9803-03463D54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43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9</cp:revision>
  <cp:lastPrinted>2022-06-02T06:53:00Z</cp:lastPrinted>
  <dcterms:created xsi:type="dcterms:W3CDTF">2024-05-07T07:19:00Z</dcterms:created>
  <dcterms:modified xsi:type="dcterms:W3CDTF">2024-05-20T11:46:00Z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